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175</w:t>
      </w:r>
    </w:p>
    <w:p>
      <w:r>
        <w:t>Bundesgericht (BGE), 1993-08-16, IT</w:t>
      </w:r>
    </w:p>
    <w:p>
      <w:r>
        <w:rPr>
          <w:b/>
        </w:rPr>
        <w:t xml:space="preserve">Quelle: </w:t>
      </w:r>
      <w:r>
        <w:t>https://mcp.opencaselaw.ch/entscheid/bge_119 IV 175</w:t>
      </w:r>
    </w:p>
    <w:p>
      <w:r>
        <w:t>FR: ATF 119 IV 175</w:t>
      </w:r>
    </w:p>
    <w:p>
      <w:r>
        <w:t>IT: DTF 119 IV 175</w:t>
      </w:r>
    </w:p>
    <w:p>
      <w:pPr>
        <w:pStyle w:val="Heading2"/>
      </w:pPr>
      <w:r>
        <w:t>Regeste</w:t>
      </w:r>
    </w:p>
    <w:p>
      <w:r>
        <w:t>Regeste Beschlagnahme und Durchsuchung von Papieren (Art. 46 und 50 VStrR). Bankgeheimnis. 1. Das Bankgeheimnis verleiht keinen absoluten Anspruch auf Verweigerung der Aussage und der Herausgabe von Akten gegenüber den Untersuchungsbehörden. Die im Rahmen eines Verwaltungsstrafverfahrens durch die Eidg. Steuerverwaltung als Untersuchungsbehörde verlangten Auskünfte können nicht unter Berufung auf das Bankgeheimnis verweigert werden. Denn letzteres geht weniger weit als das gesetzlich geschützte Berufsgeheimnis der Ärzte, Anwälte und Geistlichen. 2. Der Umstand, dass sich unter den beschlagnahmten Papieren auch solche befinden könnten, die sich im nachhinein als für die Untersuchung unerheblich erweisen, steht der Beschlagnahme nicht entgegen, sondern liegt vielmehr in der Natur dieser Zwangsmassnahme. Es steht der (an das Amtsgeheimnis gebundenen) Untersuchungsbehörde und nicht der betroffenen Bank zu, die Auswahl zu treffen. Für die Durchsuchung von Papieren bleibt Art. 50 Abs. 3 VStrR vorbehalten. 3. Zwischen einer Bank, die als Grossistin im Sinne des Warenumsatzsteuerbeschlusses Edelmetalle verkauft, und dem Käufer besteht keine bankengeschäftliche Beziehung im eigentlichen Sinne, sondern eine Geschäftsbeziehung, für die das Bankgeheimnis nicht angerufen werden kann.</w:t>
      </w:r>
    </w:p>
    <w:p>
      <w:pPr>
        <w:pStyle w:val="Heading2"/>
      </w:pPr>
      <w:r>
        <w:t>Erwägungen</w:t>
      </w:r>
    </w:p>
    <w:p>
      <w:r>
        <w:rPr>
          <w:b/>
        </w:rPr>
        <w:t>E. 3</w:t>
      </w:r>
    </w:p>
    <w:p>
      <w:r>
        <w:t>La reclamante si limita a contestare, in modo generale, la legittimità del sequestro. A ragione essa non sostiene che il sequestro litigioso lederebbe concretamente interessi meritevoli di tutela di terzi non implicati. Come ricordato giustamente dall'AFC nelle proprie circostanziate osservazioni, che menzionano la dottrina e la giurisprudenza univoche al proposito, il segreto bancario non garantisce un diritto assoluto di rifiutarsi di testimoniare e di produrre atti richiesti da un'autorità inquirente (v. AUBERT/KERNEN/SCHÖNLE, Le secret bancaire suisse, 2a ediz. Berna 1982, pag. 162 con richiami; BODMER/KLEINER/LUTZ, Kommentar zum Bundesgesetz über die Banken und Sparkassen, 2o supplemento 1982, n. 50 ad art. 47 LBCR ). La dottrina citata si fonda, in particolare, sull' art. 41 cpv. 2 DPA in relazione con gli art. 74 PP segg. (specialmente con l' art. 77 PP ). Ne discende che le informazioni richieste dall'AFC quale autorità inquirente nel quadro di un procedimento di diritto penale amministrativo devono essere fornite, senza che possa essere invocato il segreto bancario. Lo stesso vale per le interrogazioni orali degli organi della banca, che l'AFC si propone di effettuare. L'AFC rammenta d'altronde che la stessa Associazione dei Banchieri Svizzeri aveva rilevato già nel proprio rapporto di gestione del 1978/79 che in Svizzera le banche sono tenute, in virtù delle leggi di procedura penale della Confederazione e di tutti i Cantoni, a prestare testimonianza e a produrre atti, e che l'obbligo di testimoniare, di fornire informazioni e di produrre atti, posto a carico del banchiere, va oltre quello dei titolari di un diritto al segreto professionale stabilito a favore dei medici, degli avvocati o degli ecclesiastici. La decisione di sequestro delimita chiaramente ciò che è richiesto, ossia la documentazione relativa a quanto accaduto nell'interno della Banca X con riferimento alle relazioni con la Y. S.A., in particolare la documentazione concernente l'inchiesta interna della Banca X per BGE 119 IV 175 S. 178 determinare le responsabilità di chi, nel suo seno, aveva a che fare con la Y. S.A. In questo senso è privo di pertinenza il rimprovero mosso dalla reclamante all'AFC di perseguire una ricerca indiscriminata di informazioni più che una mirata azione di sequestro. L'AFC riconosce nelle proprie osservazioni la possibilità che tra i documenti sequestrati vengano a trovarsi anche documenti che in prosieguo si rivelino irrilevanti ai fini dell'inchiesta; è da convenire con l'AFC che tale circostanza non comporta l'illegittimità del provvedimento, poiché essa è inerente nella sua natura ( DTF 108 IV 76 ). Va al riguardo richiamata anche la sentenza inedita del Tribunale federale del 25 novembre 1974 nella causa Banca X c. Giudice istruttore della giurisdizione sottocenerina, in cui, con riferimento ad un sequestro bancario ordinato da un magistrato penale, è detto espressamente (consid. 3) che "certo, può accadere che attraverso l'esame degli atti sequestrati giungano a conoscenza del magistrato inquirente altre circostanze, non strettamente attinenti al caso penale, e coperte di per sé dal segreto bancario. Un simile inconveniente è nella natura delle cose e pertanto inevitabile. Ciò che è determinante è che tanto il magistrato inquirente quanto gli altri organi della giustizia penale sono vincolati al segreto d'ufficio, che comporta doveri non minori di quelli incombenti alla banca"; nello stesso considerando si afferma inoltre che "è manifesto che non può essere lasciato all'unilaterale giudizio della banca di decidere quali elementi dell'inchiesta interna debbano essere rivelati al magistrato inquirente, e quali gli possono essere celati o sottaciuti. Non solo perché un simile modo di procedere renderebbe illusorie le disposizioni sull'obbligo di testimoniare, ma anche perché il giudizio sulla rilevanza probatoria di determinati fatti compete al magistrato". Questi rilievi sono applicabili anche all'AFC in veste di autorità inquirente (in un procedimento penale amministrativo). Va ancora rilevato che l'AFC a ragione fa valere nelle proprie osservazioni che la "relazione bancaria" intrattenuta dalla Banca X con la Y. S.A. non era in realtà affatto una relazione bancaria in senso proprio, bensì una semplice relazione di affari; la Banca X agiva come grossista e trattava con la Y. S.A., anch'essa grossista fino alla sua cancellazione dal relativo registro: il segreto bancario nulla ha a che vedere con questa relazione d'affari, in merito alla quale la reclamante è quindi tenuta a fornire le più ampie informazioni, comprese quelle circa la diligenza osservata dal proprio personale nello svolgimento delle operazioni concernenti il traffico di argento granulato intervenute tra di essa e la Y.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